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bidi w:val="0"/>
        <w:spacing w:before="200" w:after="120"/>
        <w:jc w:val="start"/>
        <w:rPr>
          <w:b w:val="false"/>
          <w:i w:val="false"/>
          <w:caps w:val="false"/>
          <w:smallCaps w:val="false"/>
          <w:spacing w:val="0"/>
          <w:lang w:val="fr-FR"/>
        </w:rPr>
      </w:pPr>
      <w:r>
        <w:rPr>
          <w:b w:val="false"/>
          <w:i w:val="false"/>
          <w:caps w:val="false"/>
          <w:smallCaps w:val="false"/>
          <w:spacing w:val="0"/>
          <w:lang w:val="fr-FR"/>
        </w:rPr>
        <w:t>Podcast - Approche par compétences</w:t>
      </w:r>
    </w:p>
    <w:p>
      <w:pPr>
        <w:pStyle w:val="Heading3"/>
        <w:widowControl/>
        <w:bidi w:val="0"/>
        <w:ind w:hanging="0" w:start="0" w:end="0"/>
        <w:rPr>
          <w:b w:val="false"/>
          <w:i w:val="false"/>
          <w:caps w:val="false"/>
          <w:smallCaps w:val="false"/>
          <w:spacing w:val="0"/>
          <w:lang w:val="fr-FR"/>
        </w:rPr>
      </w:pPr>
      <w:r>
        <w:rPr>
          <w:b w:val="false"/>
          <w:i w:val="false"/>
          <w:caps w:val="false"/>
          <w:smallCaps w:val="false"/>
          <w:spacing w:val="0"/>
          <w:lang w:val="fr-FR"/>
        </w:rPr>
        <w:t>Le DU de pédagogie universitaire : témoignages d’anciens participants</w:t>
      </w:r>
    </w:p>
    <w:p>
      <w:pPr>
        <w:pStyle w:val="BodyText"/>
        <w:widowControl/>
        <w:bidi w:val="0"/>
        <w:ind w:hanging="0" w:start="0" w:end="0"/>
        <w:rPr>
          <w:b w:val="false"/>
          <w:i w:val="false"/>
          <w:caps w:val="false"/>
          <w:smallCaps w:val="false"/>
          <w:spacing w:val="0"/>
          <w:lang w:val="fr-FR"/>
        </w:rPr>
      </w:pPr>
      <w:r>
        <w:rPr>
          <w:b w:val="false"/>
          <w:i w:val="false"/>
          <w:caps w:val="false"/>
          <w:smallCaps w:val="false"/>
          <w:spacing w:val="0"/>
          <w:lang w:val="fr-FR"/>
        </w:rPr>
        <w:t>Transcription de l’épisode 9, consacré au diplôme universitaire de pédagogie universitaire, avec Julie Denoeud (IUT de Villeneuve-d’Ascq), Aguiles Amroun et Alexandre Godet (Faculté de médecine, Université de Lille).</w:t>
      </w:r>
    </w:p>
    <w:p>
      <w:pPr>
        <w:pStyle w:val="Heading4"/>
        <w:widowControl/>
        <w:bidi w:val="0"/>
        <w:ind w:hanging="0" w:start="0" w:end="0"/>
        <w:rPr>
          <w:b w:val="false"/>
          <w:i w:val="false"/>
          <w:caps w:val="false"/>
          <w:smallCaps w:val="false"/>
          <w:spacing w:val="0"/>
          <w:lang w:val="fr-FR"/>
        </w:rPr>
      </w:pPr>
      <w:r>
        <w:rPr>
          <w:b w:val="false"/>
          <w:i w:val="false"/>
          <w:caps w:val="false"/>
          <w:smallCaps w:val="false"/>
          <w:spacing w:val="0"/>
          <w:lang w:val="fr-FR"/>
        </w:rPr>
        <w:t>Introduction</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Pour ce nouvel épisode de notre podcast sur l’approche par compétences, trois anciens élèves du diplôme universitaire de pédagogie universitaire ont été interrogés sur leur expérience d’apprenants. Ce diplôme, créé par la DAPI en 2020, vise à donner les clés d’un apprentissage par l’APC en mettant ses professionnels dans une posture d’apprenant, en leur faisant expérimenter un enseignement entièrement fondé sur l’approche par compétences. Déstabilisant, sans doute, mais terriblement formateur.</w:t>
      </w:r>
    </w:p>
    <w:p>
      <w:pPr>
        <w:pStyle w:val="Heading4"/>
        <w:widowControl/>
        <w:bidi w:val="0"/>
        <w:ind w:hanging="0" w:start="0" w:end="0"/>
        <w:rPr>
          <w:b w:val="false"/>
          <w:i w:val="false"/>
          <w:caps w:val="false"/>
          <w:smallCaps w:val="false"/>
          <w:spacing w:val="0"/>
          <w:lang w:val="fr-FR"/>
        </w:rPr>
      </w:pPr>
      <w:r>
        <w:rPr>
          <w:b w:val="false"/>
          <w:i w:val="false"/>
          <w:caps w:val="false"/>
          <w:smallCaps w:val="false"/>
          <w:spacing w:val="0"/>
          <w:lang w:val="fr-FR"/>
        </w:rPr>
        <w:t>Pourquoi s’inscrire au DU ?</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D’abord en compagnie de Claire Castandé, l’une des responsables de la formation, j’interroge Aguiles Amroun, néphrologue, chercheur et maître de conférences en épidémiologie à l’Université de Lille. Mais qu’est-ce qui l’a poussé à s’inscrire ?</w:t>
      </w:r>
    </w:p>
    <w:p>
      <w:pPr>
        <w:pStyle w:val="BodyText"/>
        <w:widowControl/>
        <w:bidi w:val="0"/>
        <w:ind w:hanging="0" w:start="0" w:end="0"/>
        <w:rPr>
          <w:lang w:val="fr-FR"/>
        </w:rPr>
      </w:pPr>
      <w:r>
        <w:rPr>
          <w:rStyle w:val="Strong"/>
          <w:b w:val="false"/>
          <w:i w:val="false"/>
          <w:caps w:val="false"/>
          <w:smallCaps w:val="false"/>
          <w:spacing w:val="0"/>
          <w:lang w:val="fr-FR"/>
        </w:rPr>
        <w:t>Aguiles Amroun</w:t>
      </w:r>
      <w:r>
        <w:rPr>
          <w:b w:val="false"/>
          <w:i w:val="false"/>
          <w:caps w:val="false"/>
          <w:smallCaps w:val="false"/>
          <w:spacing w:val="0"/>
          <w:lang w:val="fr-FR"/>
        </w:rPr>
        <w:br/>
        <w:t>La raison est plutôt simple : en pratique, en tant qu’académique, et notamment à la Faculté de médecine, on est très vite lancé dans le bain des enseignements. Sauf qu’on n’a pas eu de formation spécifique pour enseigner. C’est donc ce que je venais chercher au diplôme de pédagogie : asseoir ce que je savais peut-être déjà un peu, et découvrir de nouvelles choses sur ce qui est censé faire un bon enseignant.</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Tout le monde ne s’est pas retrouvé de son plein gré au sein de cette formation. Praticien hospitalier, d’abord chef de clinique, Alexandre Godet devait passer une certification en pédagogie dans le cadre de sa titularisation comme maître de conférences.</w:t>
      </w:r>
    </w:p>
    <w:p>
      <w:pPr>
        <w:pStyle w:val="BodyText"/>
        <w:widowControl/>
        <w:bidi w:val="0"/>
        <w:ind w:hanging="0" w:start="0" w:end="0"/>
        <w:rPr>
          <w:lang w:val="fr-FR"/>
        </w:rPr>
      </w:pPr>
      <w:r>
        <w:rPr>
          <w:rStyle w:val="Strong"/>
          <w:b w:val="false"/>
          <w:i w:val="false"/>
          <w:caps w:val="false"/>
          <w:smallCaps w:val="false"/>
          <w:spacing w:val="0"/>
          <w:lang w:val="fr-FR"/>
        </w:rPr>
        <w:t>Alexandre Godet</w:t>
      </w:r>
      <w:r>
        <w:rPr>
          <w:b w:val="false"/>
          <w:i w:val="false"/>
          <w:caps w:val="false"/>
          <w:smallCaps w:val="false"/>
          <w:spacing w:val="0"/>
          <w:lang w:val="fr-FR"/>
        </w:rPr>
        <w:br/>
        <w:t>Alors, on dit toute la vérité, rien que la vérité, c’est ça ?</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Oui.</w:t>
      </w:r>
    </w:p>
    <w:p>
      <w:pPr>
        <w:pStyle w:val="BodyText"/>
        <w:widowControl/>
        <w:bidi w:val="0"/>
        <w:ind w:hanging="0" w:start="0" w:end="0"/>
        <w:rPr>
          <w:lang w:val="fr-FR"/>
        </w:rPr>
      </w:pPr>
      <w:r>
        <w:rPr>
          <w:rStyle w:val="Strong"/>
          <w:b w:val="false"/>
          <w:i w:val="false"/>
          <w:caps w:val="false"/>
          <w:smallCaps w:val="false"/>
          <w:spacing w:val="0"/>
          <w:lang w:val="fr-FR"/>
        </w:rPr>
        <w:t>Alexandre Godet</w:t>
      </w:r>
      <w:r>
        <w:rPr>
          <w:b w:val="false"/>
          <w:i w:val="false"/>
          <w:caps w:val="false"/>
          <w:smallCaps w:val="false"/>
          <w:spacing w:val="0"/>
          <w:lang w:val="fr-FR"/>
        </w:rPr>
        <w:br/>
        <w:t>D’accord. Je me suis un peu retrouvé là-dedans parce qu’il y avait quand même une injonction à suivre ce cursus, ce qui explique peut-être des choses que je développerai par la suite. Pendant une grande partie de la formation, je n’étais pas très convaincu par l’approche, ni même par l’enseignement qui était dispensé. C’est toujours un petit crève-cœur de dire ça, parce que depuis, je suis un converti. Mais avoir été dans cette position de réfractaire permet de comprendre en partie quels sont les freins à l’acculturation à l’approche par compétences qu’on peut rencontrer chez certains collègues ou chez d’autres enseignants qui n’ont pas suivi cette formation.</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C’est justement pour dépasser les freins dans la pratique de l’APC que Julie Denoeud s’inscrit, elle, au DU. Elle est enseignante en BUT, formation où l’approche par compétences est devenue obligatoire en 2021.</w:t>
      </w:r>
    </w:p>
    <w:p>
      <w:pPr>
        <w:pStyle w:val="BodyText"/>
        <w:widowControl/>
        <w:bidi w:val="0"/>
        <w:ind w:hanging="0" w:start="0" w:end="0"/>
        <w:rPr>
          <w:lang w:val="fr-FR"/>
        </w:rPr>
      </w:pPr>
      <w:r>
        <w:rPr>
          <w:rStyle w:val="Strong"/>
          <w:b w:val="false"/>
          <w:i w:val="false"/>
          <w:caps w:val="false"/>
          <w:smallCaps w:val="false"/>
          <w:spacing w:val="0"/>
          <w:lang w:val="fr-FR"/>
        </w:rPr>
        <w:t>Julie Denoeud</w:t>
      </w:r>
      <w:r>
        <w:rPr>
          <w:b w:val="false"/>
          <w:i w:val="false"/>
          <w:caps w:val="false"/>
          <w:smallCaps w:val="false"/>
          <w:spacing w:val="0"/>
          <w:lang w:val="fr-FR"/>
        </w:rPr>
        <w:br/>
        <w:t>Je sentais bien que dans la mise en place de l’APC à l’IUT, il y avait des couacs, des choses qui ne fonctionnaient pas. Quand on en discutait avec les autres enseignants, il y avait une insatisfaction : pourquoi la SAÉ, pourquoi la mettre en place à tout prix, qu’est-ce que ça nous apporte vraiment ? J’ai donc choisi ce DU parce que j’avais envie d’approfondir, de connaître le bien-fondé de la démarche APC, et de pouvoir ensuite la ramener à l’IUT pour l’appliquer en équipe pédagogique.</w:t>
      </w:r>
    </w:p>
    <w:p>
      <w:pPr>
        <w:pStyle w:val="Heading4"/>
        <w:widowControl/>
        <w:bidi w:val="0"/>
        <w:ind w:hanging="0" w:start="0" w:end="0"/>
        <w:rPr>
          <w:b w:val="false"/>
          <w:i w:val="false"/>
          <w:caps w:val="false"/>
          <w:smallCaps w:val="false"/>
          <w:spacing w:val="0"/>
          <w:lang w:val="fr-FR"/>
        </w:rPr>
      </w:pPr>
      <w:r>
        <w:rPr>
          <w:b w:val="false"/>
          <w:i w:val="false"/>
          <w:caps w:val="false"/>
          <w:smallCaps w:val="false"/>
          <w:spacing w:val="0"/>
          <w:lang w:val="fr-FR"/>
        </w:rPr>
        <w:t>Premières impressions</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Julie s’acclimate vite à l’enseignement dispensé.</w:t>
      </w:r>
    </w:p>
    <w:p>
      <w:pPr>
        <w:pStyle w:val="BodyText"/>
        <w:widowControl/>
        <w:bidi w:val="0"/>
        <w:ind w:hanging="0" w:start="0" w:end="0"/>
        <w:rPr>
          <w:lang w:val="fr-FR"/>
        </w:rPr>
      </w:pPr>
      <w:r>
        <w:rPr>
          <w:rStyle w:val="Strong"/>
          <w:b w:val="false"/>
          <w:i w:val="false"/>
          <w:caps w:val="false"/>
          <w:smallCaps w:val="false"/>
          <w:spacing w:val="0"/>
          <w:lang w:val="fr-FR"/>
        </w:rPr>
        <w:t>Julie Denoeud</w:t>
      </w:r>
      <w:r>
        <w:rPr>
          <w:b w:val="false"/>
          <w:i w:val="false"/>
          <w:caps w:val="false"/>
          <w:smallCaps w:val="false"/>
          <w:spacing w:val="0"/>
          <w:lang w:val="fr-FR"/>
        </w:rPr>
        <w:br/>
        <w:t>Au cours du DU, j’ai pu découvrir des outils et les pratiquer avec mes pairs. Nous étions un certain nombre d’enseignants à participer à des activités, à des jeux de rôle dans lesquels on mettait en place ces pratiques pédagogiques. Je pouvais donc repartir à l’IUT avec des choses que j’avais expérimentées moi-même, travaillées avec d’autres. Et je pouvais aussi venir avec mon petit bagage à moi : « Voilà, j’ai tel ou tel enseignement qui ne fonctionne pas bien, qu’est-ce que je peux faire pour l’améliorer, pour me rapprocher de la démarche APC ? »</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Julie perçoit ainsi assez vite les correspondances entre sa formation et ce qu’elle peut mettre en place dans ses propres cours. C’est une source de motivation. Mais ce n’est pas le cas de tout le monde. Alexandre Godet nous relate ses premières impressions.</w:t>
      </w:r>
    </w:p>
    <w:p>
      <w:pPr>
        <w:pStyle w:val="BodyText"/>
        <w:widowControl/>
        <w:bidi w:val="0"/>
        <w:ind w:hanging="0" w:start="0" w:end="0"/>
        <w:rPr>
          <w:lang w:val="fr-FR"/>
        </w:rPr>
      </w:pPr>
      <w:r>
        <w:rPr>
          <w:rStyle w:val="Strong"/>
          <w:b w:val="false"/>
          <w:i w:val="false"/>
          <w:caps w:val="false"/>
          <w:smallCaps w:val="false"/>
          <w:spacing w:val="0"/>
          <w:lang w:val="fr-FR"/>
        </w:rPr>
        <w:t>Alexandre Godet</w:t>
      </w:r>
      <w:r>
        <w:rPr>
          <w:b w:val="false"/>
          <w:i w:val="false"/>
          <w:caps w:val="false"/>
          <w:smallCaps w:val="false"/>
          <w:spacing w:val="0"/>
          <w:lang w:val="fr-FR"/>
        </w:rPr>
        <w:br/>
        <w:t>Tout de suite, quand on nous explique la taxonomie de Bloom et qu’on commence à nous expliquer la gradation dans la complexité de la compétence, ce référentiel de compétence, on se dit : « D’accord, c’est complètement fumeux. » Je m’en sortais très bien avant, je n’avais pas besoin de ça. J’ai des étudiants depuis des années : avant d’être chef de clinique, j’étais interne, et j’encadrais des externes en stage. Ils ont toujours été très contents, ils m’ont toujours dit à la fin : « C’est vraiment super ce que vous faites. » J’avais tout de suite le sentiment qu’on essayait de m’enfumer, de m’inculquer des notions en me disant qu’il y avait une justification à apprendre toute cette théorie. Mais tout ça recouvrait des choses dont je n’avais finalement pas vraiment besoin, puisque je m’en sortais très bien sans jusqu’ici.</w:t>
      </w:r>
    </w:p>
    <w:p>
      <w:pPr>
        <w:pStyle w:val="BodyText"/>
        <w:widowControl/>
        <w:bidi w:val="0"/>
        <w:ind w:hanging="0" w:start="0" w:end="0"/>
        <w:rPr>
          <w:b w:val="false"/>
          <w:i w:val="false"/>
          <w:caps w:val="false"/>
          <w:smallCaps w:val="false"/>
          <w:spacing w:val="0"/>
          <w:lang w:val="fr-FR"/>
        </w:rPr>
      </w:pPr>
      <w:r>
        <w:rPr>
          <w:b w:val="false"/>
          <w:i w:val="false"/>
          <w:caps w:val="false"/>
          <w:smallCaps w:val="false"/>
          <w:spacing w:val="0"/>
          <w:lang w:val="fr-FR"/>
        </w:rPr>
        <w:t>Il y avait aussi le fait de substituer à certains mots dont on avait l’habitude de nouveaux mots. Ça me grattait toujours un peu quand j’entendais « les apprenants ». Je me disais : « Bon, ce sont des étudiants, on a compris, appelons un chat un chat. » En fait, c’est parce que je n’avais pas moi-même mis en application les différences conceptuelles qu’il y a entre le fait d’encadrer un apprenant et celui d’encadrer un étudiant.</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Et ce n’est pas un cas isolé. Aguiles Amroun n’a pas eu que de bons souvenirs au démarrage.</w:t>
      </w:r>
    </w:p>
    <w:p>
      <w:pPr>
        <w:pStyle w:val="BodyText"/>
        <w:widowControl/>
        <w:bidi w:val="0"/>
        <w:ind w:hanging="0" w:start="0" w:end="0"/>
        <w:rPr>
          <w:lang w:val="fr-FR"/>
        </w:rPr>
      </w:pPr>
      <w:r>
        <w:rPr>
          <w:rStyle w:val="Strong"/>
          <w:b w:val="false"/>
          <w:i w:val="false"/>
          <w:caps w:val="false"/>
          <w:smallCaps w:val="false"/>
          <w:spacing w:val="0"/>
          <w:lang w:val="fr-FR"/>
        </w:rPr>
        <w:t>Aguiles Amroun</w:t>
      </w:r>
      <w:r>
        <w:rPr>
          <w:b w:val="false"/>
          <w:i w:val="false"/>
          <w:caps w:val="false"/>
          <w:smallCaps w:val="false"/>
          <w:spacing w:val="0"/>
          <w:lang w:val="fr-FR"/>
        </w:rPr>
        <w:br/>
        <w:t>Le premier, je ne suis pas sûr qu’il soit si positif que ça. J’étais un peu perdu, et cette impression d’être perdu est restée assez longtemps pendant le DU. Jusqu’au déclic, qui est arrivé très tard, un mois et demi avant la soutenance, au moment où il fallait vraiment s’y mettre. J’étais perdu parce que ça n’avait rien à voir avec ce qu’on a l’habitude de faire, ni avec ce qu’on a eu l’habitude de voir en tant qu’enseignés. Et surtout, je pense que je venais chercher des choses très concrètes : comment j’anime une séance en grand groupe ? Comment je fais un enseignement interactif ? Comment je capte l’attention des étudiants ?</w:t>
      </w:r>
    </w:p>
    <w:p>
      <w:pPr>
        <w:pStyle w:val="BodyText"/>
        <w:widowControl/>
        <w:bidi w:val="0"/>
        <w:ind w:hanging="0" w:start="0" w:end="0"/>
        <w:rPr>
          <w:b w:val="false"/>
          <w:i w:val="false"/>
          <w:caps w:val="false"/>
          <w:smallCaps w:val="false"/>
          <w:spacing w:val="0"/>
          <w:lang w:val="fr-FR"/>
        </w:rPr>
      </w:pPr>
      <w:r>
        <w:rPr>
          <w:b w:val="false"/>
          <w:i w:val="false"/>
          <w:caps w:val="false"/>
          <w:smallCaps w:val="false"/>
          <w:spacing w:val="0"/>
          <w:lang w:val="fr-FR"/>
        </w:rPr>
        <w:t>L’enseignement du DU en approche par compétences, ce n’est pas du tout ce à quoi il était censé répondre au départ. Il nous amenait à mener une réflexion sur nous-mêmes en tant qu’enseignants, sur nos objectifs en tant qu’enseignants. Et plutôt que de nous donner des astuces, comme on pensait en trouver au départ, il fallait qu’on aille les chercher nous-mêmes.</w:t>
      </w:r>
    </w:p>
    <w:p>
      <w:pPr>
        <w:pStyle w:val="Heading4"/>
        <w:widowControl/>
        <w:bidi w:val="0"/>
        <w:ind w:hanging="0" w:start="0" w:end="0"/>
        <w:rPr>
          <w:b w:val="false"/>
          <w:i w:val="false"/>
          <w:caps w:val="false"/>
          <w:smallCaps w:val="false"/>
          <w:spacing w:val="0"/>
          <w:lang w:val="fr-FR"/>
        </w:rPr>
      </w:pPr>
      <w:r>
        <w:rPr>
          <w:b w:val="false"/>
          <w:i w:val="false"/>
          <w:caps w:val="false"/>
          <w:smallCaps w:val="false"/>
          <w:spacing w:val="0"/>
          <w:lang w:val="fr-FR"/>
        </w:rPr>
        <w:t>Le déclic</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Sacrée expérience. Aguiles n’est pas le seul à avoir éprouvé ce déclic : il est aussi venu pour Alexandre.</w:t>
      </w:r>
    </w:p>
    <w:p>
      <w:pPr>
        <w:pStyle w:val="BodyText"/>
        <w:widowControl/>
        <w:bidi w:val="0"/>
        <w:ind w:hanging="0" w:start="0" w:end="0"/>
        <w:rPr/>
      </w:pPr>
      <w:r>
        <w:rPr>
          <w:rStyle w:val="Strong"/>
          <w:b w:val="false"/>
          <w:i w:val="false"/>
          <w:caps w:val="false"/>
          <w:smallCaps w:val="false"/>
          <w:spacing w:val="0"/>
          <w:lang w:val="fr-FR"/>
        </w:rPr>
        <w:t>Alexandre Godet</w:t>
      </w:r>
      <w:r>
        <w:rPr>
          <w:b w:val="false"/>
          <w:i w:val="false"/>
          <w:caps w:val="false"/>
          <w:smallCaps w:val="false"/>
          <w:spacing w:val="0"/>
          <w:lang w:val="fr-FR"/>
        </w:rPr>
        <w:br/>
        <w:t xml:space="preserve">Oui, il y a eu un déclic. Mieux vaut tard que jamais, dira-t-on. On nous demande de constituer un portfolio dans lequel on compile des traces d’apprentissage que l’on a soi-même produites dans le cadre du DU, et qui nous permettent de progresser dans les compétences que l’on doit développer au cours de la formation. </w:t>
      </w:r>
      <w:r>
        <w:rPr>
          <w:b w:val="false"/>
          <w:i w:val="false"/>
          <w:caps w:val="false"/>
          <w:smallCaps w:val="false"/>
          <w:spacing w:val="0"/>
        </w:rPr>
        <w:t>Le portfolio, pour les étudiants, et je le voyais chez les gens autour de moi, ça a toujours été un peu : « Oh là là, on va devoir faire un portfolio… »</w:t>
      </w:r>
      <w:r>
        <w:rPr>
          <w:b w:val="false"/>
          <w:i w:val="false"/>
          <w:caps w:val="false"/>
          <w:smallCaps w:val="false"/>
          <w:spacing w:val="0"/>
          <w:lang w:val="fr-FR"/>
        </w:rPr>
        <w:t xml:space="preserve"> Et en fait, j’ai adoré faire cet exercice, parce qu’il m’a obligé à réfléchir à ce que j’avais appris, et enfin à comprendre toute cette terminologie qui me semblait difficile à incorporer et dont je doutais.</w:t>
      </w:r>
    </w:p>
    <w:p>
      <w:pPr>
        <w:pStyle w:val="BodyText"/>
        <w:widowControl/>
        <w:bidi w:val="0"/>
        <w:ind w:hanging="0" w:start="0" w:end="0"/>
        <w:rPr>
          <w:b w:val="false"/>
          <w:i w:val="false"/>
          <w:caps w:val="false"/>
          <w:smallCaps w:val="false"/>
          <w:spacing w:val="0"/>
          <w:lang w:val="fr-FR"/>
        </w:rPr>
      </w:pPr>
      <w:r>
        <w:rPr>
          <w:b w:val="false"/>
          <w:i w:val="false"/>
          <w:caps w:val="false"/>
          <w:smallCaps w:val="false"/>
          <w:spacing w:val="0"/>
          <w:lang w:val="fr-FR"/>
        </w:rPr>
        <w:t>J’ai dû écrire dans le portfolio ce que j’avais moi-même fait, ce qui avait bien fonctionné ou pas, et le mettre en lien avec les éléments théorisés que nous avions vus dans le DU. Faire la correspondance entre la théorie, ma propre pratique et la manière dont je l’avais fait évoluer. Et là, il y a eu un vrai déclic. Je me suis dit : « En fait, j’ai changé. Sans m’en rendre compte, j’ai changé ma manière de faire. Je ne suis plus le même encadrant, le même enseignant. » Sur un DU qui dure deux ans, je pense qu’on devait être trois mois avant la fin du DU.</w:t>
      </w:r>
    </w:p>
    <w:p>
      <w:pPr>
        <w:pStyle w:val="Heading4"/>
        <w:widowControl/>
        <w:bidi w:val="0"/>
        <w:ind w:hanging="0" w:start="0" w:end="0"/>
        <w:rPr>
          <w:b w:val="false"/>
          <w:i w:val="false"/>
          <w:caps w:val="false"/>
          <w:smallCaps w:val="false"/>
          <w:spacing w:val="0"/>
          <w:lang w:val="fr-FR"/>
        </w:rPr>
      </w:pPr>
      <w:r>
        <w:rPr>
          <w:b w:val="false"/>
          <w:i w:val="false"/>
          <w:caps w:val="false"/>
          <w:smallCaps w:val="false"/>
          <w:spacing w:val="0"/>
          <w:lang w:val="fr-FR"/>
        </w:rPr>
        <w:t>Ce qui a changé dans leur pratique</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Pour Julie, qui était déjà plus sensible à l’APC, la notion d’alignement pédagogique a changé sa manière d’enseigner. Cette notion est aujourd’hui un phare pour cette enseignante en biologie.</w:t>
      </w:r>
    </w:p>
    <w:p>
      <w:pPr>
        <w:pStyle w:val="BodyText"/>
        <w:widowControl/>
        <w:bidi w:val="0"/>
        <w:ind w:hanging="0" w:start="0" w:end="0"/>
        <w:rPr>
          <w:lang w:val="fr-FR"/>
        </w:rPr>
      </w:pPr>
      <w:r>
        <w:rPr>
          <w:rStyle w:val="Strong"/>
          <w:b w:val="false"/>
          <w:i w:val="false"/>
          <w:caps w:val="false"/>
          <w:smallCaps w:val="false"/>
          <w:spacing w:val="0"/>
          <w:lang w:val="fr-FR"/>
        </w:rPr>
        <w:t>Julie Denoeud</w:t>
      </w:r>
      <w:r>
        <w:rPr>
          <w:b w:val="false"/>
          <w:i w:val="false"/>
          <w:caps w:val="false"/>
          <w:smallCaps w:val="false"/>
          <w:spacing w:val="0"/>
          <w:lang w:val="fr-FR"/>
        </w:rPr>
        <w:br/>
        <w:t>Une des notions clés qui nous a été présentée très vite, c’est ce qu’on appelle l’alignement pédagogique. L’idée, en gros, c’est que l’ensemble de notre enseignement soit aligné. On présente aux étudiants, dès le départ, ce qu’on appelle des objectifs d’apprentissage. On centre ainsi notre enseignement sur l’étudiant et sur son apprentissage, et non plus sur les contenus qu’on a à lui transmettre. On définit dès le départ avec l’étudiant une sorte de contrat : on écrit un syllabus dans lequel figurent les objectifs d’apprentissage. On lui dit : « Voilà ce que tu seras capable de faire à la fin de mon enseignement. » Ça nous force, en tant qu’enseignants, à formuler les choses du point de vue de l’étudiant, et non plus du point de vue des contenus qu’on a envie de transmettre.</w:t>
      </w:r>
    </w:p>
    <w:p>
      <w:pPr>
        <w:pStyle w:val="BodyText"/>
        <w:widowControl/>
        <w:bidi w:val="0"/>
        <w:ind w:hanging="0" w:start="0" w:end="0"/>
        <w:rPr>
          <w:b w:val="false"/>
          <w:i w:val="false"/>
          <w:caps w:val="false"/>
          <w:smallCaps w:val="false"/>
          <w:spacing w:val="0"/>
          <w:lang w:val="fr-FR"/>
        </w:rPr>
      </w:pPr>
      <w:r>
        <w:rPr>
          <w:b w:val="false"/>
          <w:i w:val="false"/>
          <w:caps w:val="false"/>
          <w:smallCaps w:val="false"/>
          <w:spacing w:val="0"/>
          <w:lang w:val="fr-FR"/>
        </w:rPr>
        <w:t>Le jour de l’évaluation, l’étudiant peut se référer au syllabus pour préparer son évaluation. Il n’est plus centré sur les contenus, sur « le prof a dit qu’il fallait absolument savoir ça ». Il est centré sur les objectifs d’apprentissage et sur ce qu’il doit être capable de faire au moment de l’évaluation. Cet alignement pédagogique, je l’ai découvert très vite au DU, et je ne peux plus envisager aujourd’hui un enseignement sans avoir présenté les objectifs pédagogiques, le déroulé (donc ma stratégie d’enseignement) et les attendus de l’évaluation.</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Pour Alexandre aussi, il y a un avant et un après APC dans sa pratique avec les étudiants.</w:t>
      </w:r>
    </w:p>
    <w:p>
      <w:pPr>
        <w:pStyle w:val="BodyText"/>
        <w:widowControl/>
        <w:bidi w:val="0"/>
        <w:ind w:hanging="0" w:start="0" w:end="0"/>
        <w:rPr>
          <w:lang w:val="fr-FR"/>
        </w:rPr>
      </w:pPr>
      <w:r>
        <w:rPr>
          <w:rStyle w:val="Strong"/>
          <w:b w:val="false"/>
          <w:i w:val="false"/>
          <w:caps w:val="false"/>
          <w:smallCaps w:val="false"/>
          <w:spacing w:val="0"/>
          <w:lang w:val="fr-FR"/>
        </w:rPr>
        <w:t>Alexandre Godet</w:t>
      </w:r>
      <w:r>
        <w:rPr>
          <w:b w:val="false"/>
          <w:i w:val="false"/>
          <w:caps w:val="false"/>
          <w:smallCaps w:val="false"/>
          <w:spacing w:val="0"/>
          <w:lang w:val="fr-FR"/>
        </w:rPr>
        <w:br/>
        <w:t>C’est très concret. Quand j’avais des étudiants en stage, j’aimais bien qu’ils me regardent faire. Je suis médecin réanimateur. Je vois quotidiennement des proches de patients, ou des patients eux-mêmes, à qui je donne des informations et des nouvelles. Faire un entretien avec une famille pour lui expliquer la situation d’un proche, je pensais que ça ne pouvait relever que d’un médecin senior ou d’un interne, donc d’un niveau au-dessus des étudiants dont je parle, qui sont en deuxième cycle et pas encore internes.</w:t>
      </w:r>
    </w:p>
    <w:p>
      <w:pPr>
        <w:pStyle w:val="BodyText"/>
        <w:widowControl/>
        <w:bidi w:val="0"/>
        <w:ind w:hanging="0" w:start="0" w:end="0"/>
        <w:rPr>
          <w:b w:val="false"/>
          <w:i w:val="false"/>
          <w:caps w:val="false"/>
          <w:smallCaps w:val="false"/>
          <w:spacing w:val="0"/>
          <w:lang w:val="fr-FR"/>
        </w:rPr>
      </w:pPr>
      <w:r>
        <w:rPr>
          <w:b w:val="false"/>
          <w:i w:val="false"/>
          <w:caps w:val="false"/>
          <w:smallCaps w:val="false"/>
          <w:spacing w:val="0"/>
          <w:lang w:val="fr-FR"/>
        </w:rPr>
        <w:t>À force d’être incité à confier cette tâche à des étudiants de deuxième cycle, dans le cadre d’un exercice pédagogique pour progresser dans la compétence avec des étudiants de deuxième cycle, j’ai fini par me jeter à l’eau. Avec un cadre : des objectifs d’apprentissage définis en début de stage, des attendus d’apprentissage qui sont ceux des référentiels de compétences existants, formalisés et remis aux étudiants, qui y ont d’ailleurs été préparés pendant leur cursus. Le jour J arrive, et cela se reproduit plusieurs fois pendant le stage : je confie la tâche à l’étudiant, d’abord sous supervision, en ma présence ou en celle d’un collègue, puis en autonomie. Par exemple, donner des nouvelles à un patient. C’est suivi d’un débriefing, puis on le renvoie à son référentiel et aux outils qui existent. Ensuite, il répète la tâche, et il identifie ainsi ce qui allait bien, moins bien, ce qu’il a amélioré.</w:t>
      </w:r>
    </w:p>
    <w:p>
      <w:pPr>
        <w:pStyle w:val="BodyText"/>
        <w:widowControl/>
        <w:bidi w:val="0"/>
        <w:ind w:hanging="0" w:start="0" w:end="0"/>
        <w:rPr>
          <w:b w:val="false"/>
          <w:i w:val="false"/>
          <w:caps w:val="false"/>
          <w:smallCaps w:val="false"/>
          <w:spacing w:val="0"/>
          <w:lang w:val="fr-FR"/>
        </w:rPr>
      </w:pPr>
      <w:r>
        <w:rPr>
          <w:b w:val="false"/>
          <w:i w:val="false"/>
          <w:caps w:val="false"/>
          <w:smallCaps w:val="false"/>
          <w:spacing w:val="0"/>
          <w:lang w:val="fr-FR"/>
        </w:rPr>
        <w:t>Cette tâche confiable, c’est quelque chose que je cherche maintenant à mettre en œuvre et à décliner dans différentes compétences. J’ai parlé de la compétence de communication avec un patient ou avec ses proches, mais on peut faire de même pour le raisonnement clinique ou la prise de décisions éthiques. Ce qui a vraiment changé, c’est la mise en action : définir des tâches confiables, les flécher en amont sur le terrain de stage avec les étudiants, et les rendre vraiment acteurs, avec des objectifs, des attendus d’apprentissage et une méthode d’évaluation à la fin. Acteurs de leur apprentissage, et plus seulement observateurs, même s’il s’agit d’observation active. Observer reste utile et, à mon avis, indispensable, puisque cela participe à la progression dans la compétence, mais ce ne peut être qu’un complément à la mise en action.</w:t>
      </w:r>
    </w:p>
    <w:p>
      <w:pPr>
        <w:pStyle w:val="Heading4"/>
        <w:widowControl/>
        <w:bidi w:val="0"/>
        <w:ind w:hanging="0" w:start="0" w:end="0"/>
        <w:rPr>
          <w:b w:val="false"/>
          <w:i w:val="false"/>
          <w:caps w:val="false"/>
          <w:smallCaps w:val="false"/>
          <w:spacing w:val="0"/>
          <w:lang w:val="fr-FR"/>
        </w:rPr>
      </w:pPr>
      <w:r>
        <w:rPr>
          <w:b w:val="false"/>
          <w:i w:val="false"/>
          <w:caps w:val="false"/>
          <w:smallCaps w:val="false"/>
          <w:spacing w:val="0"/>
          <w:lang w:val="fr-FR"/>
        </w:rPr>
        <w:t>Les étudiants face à l’APC</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Si les enseignants ont pris le temps d’apprendre l’APC et de se familiariser avec ses méthodes, les étudiants, eux, se concentrent surtout sur leurs examens et ont du mal à appréhender cette nouvelle manière d’apprendre.</w:t>
      </w:r>
    </w:p>
    <w:p>
      <w:pPr>
        <w:pStyle w:val="BodyText"/>
        <w:widowControl/>
        <w:bidi w:val="0"/>
        <w:ind w:hanging="0" w:start="0" w:end="0"/>
        <w:rPr>
          <w:lang w:val="fr-FR"/>
        </w:rPr>
      </w:pPr>
      <w:r>
        <w:rPr>
          <w:rStyle w:val="Strong"/>
          <w:b w:val="false"/>
          <w:i w:val="false"/>
          <w:caps w:val="false"/>
          <w:smallCaps w:val="false"/>
          <w:spacing w:val="0"/>
          <w:lang w:val="fr-FR"/>
        </w:rPr>
        <w:t>Alexandre Godet</w:t>
      </w:r>
      <w:r>
        <w:rPr>
          <w:b w:val="false"/>
          <w:i w:val="false"/>
          <w:caps w:val="false"/>
          <w:smallCaps w:val="false"/>
          <w:spacing w:val="0"/>
          <w:lang w:val="fr-FR"/>
        </w:rPr>
        <w:br/>
        <w:t>On est dans une situation un peu particulière avec les étudiants en médecine. Ils ont un premier objectif : le concours, être bien classés pour pouvoir choisir leur ville et leur spécialité. Puis un objectif qui vient juste derrière, chronologiquement et probablement aussi dans l’ordre des priorités : être un bon soignant. L’approche par compétences, côté enseignants en tout cas, nous en sommes convaincus, les prépare aux deux. Sauf que les étudiants ne sont pas encore convaincus qu’elle les prépare à cette première étape qu’est le concours. Or il ne faut pas, à cause du concours, sacrifier l’objectif le plus important in fine : se préparer à un métier.</w:t>
      </w:r>
    </w:p>
    <w:p>
      <w:pPr>
        <w:pStyle w:val="Heading4"/>
        <w:widowControl/>
        <w:bidi w:val="0"/>
        <w:ind w:hanging="0" w:start="0" w:end="0"/>
        <w:rPr>
          <w:b w:val="false"/>
          <w:i w:val="false"/>
          <w:caps w:val="false"/>
          <w:smallCaps w:val="false"/>
          <w:spacing w:val="0"/>
          <w:lang w:val="fr-FR"/>
        </w:rPr>
      </w:pPr>
      <w:r>
        <w:rPr>
          <w:b w:val="false"/>
          <w:i w:val="false"/>
          <w:caps w:val="false"/>
          <w:smallCaps w:val="false"/>
          <w:spacing w:val="0"/>
          <w:lang w:val="fr-FR"/>
        </w:rPr>
        <w:t>Conclusion</w:t>
      </w:r>
    </w:p>
    <w:p>
      <w:pPr>
        <w:pStyle w:val="BodyText"/>
        <w:widowControl/>
        <w:bidi w:val="0"/>
        <w:ind w:hanging="0" w:start="0" w:end="0"/>
        <w:rPr>
          <w:lang w:val="fr-FR"/>
        </w:rPr>
      </w:pPr>
      <w:r>
        <w:rPr>
          <w:rStyle w:val="Strong"/>
          <w:b w:val="false"/>
          <w:i w:val="false"/>
          <w:caps w:val="false"/>
          <w:smallCaps w:val="false"/>
          <w:spacing w:val="0"/>
          <w:lang w:val="fr-FR"/>
        </w:rPr>
        <w:t>Journaliste</w:t>
      </w:r>
      <w:r>
        <w:rPr>
          <w:b w:val="false"/>
          <w:i w:val="false"/>
          <w:caps w:val="false"/>
          <w:smallCaps w:val="false"/>
          <w:spacing w:val="0"/>
          <w:lang w:val="fr-FR"/>
        </w:rPr>
        <w:br/>
        <w:t>Vous l’avez compris : lors du DU de pédagogie universitaire, on renverse la vapeur, et les enseignants se mettent à la place des étudiants pour expérimenter l’approche par compétences. Ça marche, même si ce n’est pas si simple au démarrage. Pour preuve, ce diplôme s’est même exporté dans d’autres universités françaises pour sa dernière édition. Et une fois convaincu, à l’échelle individuelle, du bien-fondé d’une telle méthode pour rafraîchir une formation ou repenser un diplôme, il faut obtenir le soutien de son établissement, car l’APC implique des changements en profondeur. Nous écouterons cela dans le prochain et dernier épisode de notre série.</w:t>
      </w:r>
    </w:p>
    <w:p>
      <w:pPr>
        <w:pStyle w:val="Normal"/>
        <w:bidi w:val="0"/>
        <w:jc w:val="start"/>
        <w:rPr>
          <w:lang w:val="fr-FR"/>
        </w:rPr>
      </w:pPr>
      <w:r>
        <w:rPr>
          <w:lang w:val="fr-FR"/>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DejaVu Serif">
    <w:charset w:val="01"/>
    <w:family w:val="roman"/>
    <w:pitch w:val="variable"/>
  </w:font>
  <w:font w:name="DejaVu Sans">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DejaVu Serif" w:hAnsi="DejaVu Serif" w:eastAsia="DejaVu Sans"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DejaVu Serif" w:hAnsi="DejaVu Serif" w:eastAsia="DejaVu Sans" w:cs="Noto Sans Devanagari"/>
      <w:color w:val="auto"/>
      <w:kern w:val="2"/>
      <w:sz w:val="24"/>
      <w:szCs w:val="24"/>
      <w:lang w:val="en-US" w:eastAsia="zh-CN" w:bidi="hi-IN"/>
    </w:rPr>
  </w:style>
  <w:style w:type="paragraph" w:styleId="Heading2">
    <w:name w:val="heading 2"/>
    <w:basedOn w:val="Titre"/>
    <w:next w:val="BodyText"/>
    <w:qFormat/>
    <w:pPr>
      <w:spacing w:before="200" w:after="120"/>
      <w:outlineLvl w:val="1"/>
    </w:pPr>
    <w:rPr>
      <w:rFonts w:ascii="Carlito" w:hAnsi="Carlito" w:eastAsia="Noto Serif SC" w:cs="Noto Sans"/>
      <w:b/>
      <w:bCs/>
      <w:sz w:val="36"/>
      <w:szCs w:val="36"/>
    </w:rPr>
  </w:style>
  <w:style w:type="paragraph" w:styleId="Heading3">
    <w:name w:val="heading 3"/>
    <w:basedOn w:val="Titre"/>
    <w:next w:val="BodyText"/>
    <w:qFormat/>
    <w:pPr>
      <w:spacing w:before="140" w:after="120"/>
      <w:outlineLvl w:val="2"/>
    </w:pPr>
    <w:rPr>
      <w:rFonts w:ascii="Carlito" w:hAnsi="Carlito" w:eastAsia="Noto Serif SC" w:cs="Noto Sans"/>
      <w:b/>
      <w:bCs/>
      <w:sz w:val="28"/>
      <w:szCs w:val="28"/>
    </w:rPr>
  </w:style>
  <w:style w:type="paragraph" w:styleId="Heading4">
    <w:name w:val="heading 4"/>
    <w:basedOn w:val="Titre"/>
    <w:next w:val="BodyText"/>
    <w:qFormat/>
    <w:pPr>
      <w:spacing w:before="120" w:after="120"/>
      <w:outlineLvl w:val="3"/>
    </w:pPr>
    <w:rPr>
      <w:rFonts w:ascii="Carlito" w:hAnsi="Carlito" w:eastAsia="Noto Serif SC" w:cs="Noto Sans"/>
      <w:b/>
      <w:bCs/>
      <w:sz w:val="24"/>
      <w:szCs w:val="24"/>
    </w:rPr>
  </w:style>
  <w:style w:type="character" w:styleId="Strong">
    <w:name w:val="Strong"/>
    <w:qFormat/>
    <w:rPr>
      <w:b/>
      <w:bCs/>
    </w:rPr>
  </w:style>
  <w:style w:type="paragraph" w:styleId="Titre">
    <w:name w:val="Titre"/>
    <w:basedOn w:val="Normal"/>
    <w:next w:val="BodyText"/>
    <w:qFormat/>
    <w:pPr>
      <w:keepNext w:val="true"/>
      <w:spacing w:before="240" w:after="120"/>
    </w:pPr>
    <w:rPr>
      <w:rFonts w:ascii="DejaVu Sans" w:hAnsi="DejaVu Sans" w:eastAsia="DejaVu Sans"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Collabora_Office/25.04.12.3$Linux_X86_64 LibreOffice_project/3c660808fe24a96283bda12f73c6405d49b49654</Application>
  <AppVersion>15.0000</AppVersion>
  <Pages>6</Pages>
  <Words>2260</Words>
  <Characters>11394</Characters>
  <CharactersWithSpaces>13614</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2026-10-16T12:31:25Z</dcterms:created>
  <dc:creator/>
  <dc:description/>
  <dc:language>fr-FR</dc:language>
  <cp:lastModifiedBy/>
  <dcterms:modified xsi:type="dcterms:W3CDTF">2026-10-16T12:31:25Z</dcterms:modified>
  <cp:revision>3</cp:revision>
  <dc:subject/>
  <dc:title/>
</cp:coreProperties>
</file>